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BFBD" w14:textId="77777777" w:rsidR="001D6074" w:rsidRDefault="001D6074" w:rsidP="001D607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DBFB7" wp14:editId="44B0DAC6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A7E376" w14:textId="77777777" w:rsidR="001D6074" w:rsidRPr="009E7766" w:rsidRDefault="001D6074" w:rsidP="001D607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0ACE2D6B" w14:textId="77777777" w:rsidR="001D6074" w:rsidRPr="009E7766" w:rsidRDefault="001D6074" w:rsidP="001D607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22B1059D" w14:textId="29A5BE4E" w:rsidR="001D6074" w:rsidRPr="009E7766" w:rsidRDefault="001D6074" w:rsidP="001D6074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B96D0A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/05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DBFB7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73A7E376" w14:textId="77777777" w:rsidR="001D6074" w:rsidRPr="009E7766" w:rsidRDefault="001D6074" w:rsidP="001D607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0ACE2D6B" w14:textId="77777777" w:rsidR="001D6074" w:rsidRPr="009E7766" w:rsidRDefault="001D6074" w:rsidP="001D607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22B1059D" w14:textId="29A5BE4E" w:rsidR="001D6074" w:rsidRPr="009E7766" w:rsidRDefault="001D6074" w:rsidP="001D6074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B96D0A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/05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5AB2E" wp14:editId="6D44E7F6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1E85B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C9EC" wp14:editId="65E61875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4527B8" w14:textId="4E1156C4" w:rsidR="001D6074" w:rsidRPr="006659B0" w:rsidRDefault="001D6074" w:rsidP="001D607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INFORMATORI nr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.3</w:t>
                            </w:r>
                            <w:r w:rsidR="00B96D0A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7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3C9EC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044527B8" w14:textId="4E1156C4" w:rsidR="001D6074" w:rsidRPr="006659B0" w:rsidRDefault="001D6074" w:rsidP="001D6074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INFORMATORI nr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.3</w:t>
                      </w:r>
                      <w:r w:rsidR="00B96D0A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7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CDB9C17" w14:textId="77777777" w:rsidR="001D6074" w:rsidRDefault="001D6074" w:rsidP="001D6074"/>
    <w:p w14:paraId="7FFFDD84" w14:textId="77777777" w:rsidR="001D6074" w:rsidRDefault="001D6074" w:rsidP="001D6074"/>
    <w:p w14:paraId="15E215E1" w14:textId="2A9FEB06" w:rsidR="001D6074" w:rsidRPr="000F4F0D" w:rsidRDefault="001D6074" w:rsidP="001D6074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</w:t>
      </w:r>
      <w:r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plejofi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– finalja e V, e zhvilluara me 1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8</w:t>
      </w:r>
      <w:r>
        <w:rPr>
          <w:rFonts w:ascii="Cambria" w:hAnsi="Cambria" w:cs="Times New Roman"/>
          <w:color w:val="4472C4" w:themeColor="accent1"/>
          <w:sz w:val="24"/>
          <w:szCs w:val="24"/>
        </w:rPr>
        <w:t>.05.2023,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</w:t>
      </w:r>
      <w:r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1D6E1535" w14:textId="77777777" w:rsidR="001D6074" w:rsidRPr="005C7EB6" w:rsidRDefault="001D6074" w:rsidP="001D6074">
      <w:pPr>
        <w:rPr>
          <w:rFonts w:ascii="Segoe UI Symbol" w:eastAsia="Segoe UI Symbol" w:hAnsi="Segoe UI Symbol" w:cs="Times New Roman"/>
          <w:color w:val="4472C4" w:themeColor="accent1"/>
          <w:sz w:val="24"/>
          <w:szCs w:val="24"/>
          <w:lang w:eastAsia="ja-JP"/>
        </w:rPr>
      </w:pPr>
    </w:p>
    <w:p w14:paraId="23305C23" w14:textId="4603FB88" w:rsidR="001D6074" w:rsidRPr="006D3FFA" w:rsidRDefault="001D6074" w:rsidP="001D6074">
      <w:pPr>
        <w:spacing w:after="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Trepça </w:t>
      </w:r>
      <w:proofErr w:type="spellStart"/>
      <w:r w:rsidR="00B96D0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="00B96D0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Peja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                              </w:t>
      </w:r>
      <w:r w:rsidR="00B96D0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91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:83 ( </w:t>
      </w:r>
      <w:r w:rsidR="00B96D0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17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:2</w:t>
      </w:r>
      <w:r w:rsidR="00B96D0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1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,</w:t>
      </w:r>
      <w:r w:rsidR="00B96D0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17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B96D0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15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,</w:t>
      </w:r>
      <w:r w:rsidR="00B96D0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24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B96D0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22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,</w:t>
      </w:r>
      <w:r w:rsidR="00B96D0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19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B96D0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19, 14:16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) 2-</w:t>
      </w:r>
      <w:r w:rsidR="007737AD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3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                         </w:t>
      </w:r>
    </w:p>
    <w:p w14:paraId="114B61F1" w14:textId="2C99685A" w:rsidR="001D6074" w:rsidRPr="00A11EB3" w:rsidRDefault="001D6074" w:rsidP="001D607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Marius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Ciulin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 </w:t>
      </w:r>
    </w:p>
    <w:p w14:paraId="13F90902" w14:textId="69C282A2" w:rsidR="001D6074" w:rsidRPr="00A11EB3" w:rsidRDefault="001D6074" w:rsidP="001D607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Andris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Aunkrogres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53DB5CE1" w14:textId="4A8EF0E8" w:rsidR="001D6074" w:rsidRPr="00A11EB3" w:rsidRDefault="001D6074" w:rsidP="001D607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218704B3" w14:textId="3EB47B7B" w:rsidR="001D6074" w:rsidRPr="00A11EB3" w:rsidRDefault="001D6074" w:rsidP="001D607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>
        <w:rPr>
          <w:rFonts w:ascii="Cambria" w:hAnsi="Cambria" w:cs="Times New Roman"/>
          <w:color w:val="4472C4" w:themeColor="accent1"/>
          <w:sz w:val="24"/>
          <w:szCs w:val="24"/>
        </w:rPr>
        <w:t>o</w:t>
      </w: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mesar</w:t>
      </w:r>
      <w:proofErr w:type="spellEnd"/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Bekim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Aliu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 </w:t>
      </w: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 </w:t>
      </w:r>
    </w:p>
    <w:p w14:paraId="53CBFC27" w14:textId="502C7F91" w:rsidR="001D6074" w:rsidRPr="00A11EB3" w:rsidRDefault="001D6074" w:rsidP="001D607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Lulzim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539535B0" w14:textId="77777777" w:rsidR="001D6074" w:rsidRPr="00A11EB3" w:rsidRDefault="001D6074" w:rsidP="001D607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1E3992C2" w14:textId="77777777" w:rsidR="001D6074" w:rsidRPr="00A11EB3" w:rsidRDefault="001D6074" w:rsidP="001D607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21BFCC95" w14:textId="163EF56C" w:rsidR="001D6074" w:rsidRPr="00A11EB3" w:rsidRDefault="001D6074" w:rsidP="001D607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Pr="001D6074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Pr="001D607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  <w:r w:rsidR="007737AD" w:rsidRPr="001D6074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1D6074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nr</w:t>
      </w:r>
      <w:r w:rsidR="007737AD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12 Drilon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Hajrizi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, i cili u nd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shkua me GT p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r sjellje josportive 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çerekun e 3-t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9</w:t>
      </w:r>
    </w:p>
    <w:p w14:paraId="56183B22" w14:textId="0C79CFAC" w:rsidR="001D6074" w:rsidRPr="00A11EB3" w:rsidRDefault="001D6074" w:rsidP="001D607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rpos lojtarit me nr.1 Arti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Hajdari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, i cili u nd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shkua me GT p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r sjellje josportive 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çerekun e 3-t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9. 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çerekun e 4-t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7, lojtari me nr</w:t>
      </w:r>
      <w:r w:rsidR="007737AD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11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Jalen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Tate u nd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shkua me GT. 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2 gjithashtu 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overtime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Tate u nd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shkua me GT p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r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flop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me </w:t>
      </w:r>
      <w:r w:rsidR="007737AD">
        <w:rPr>
          <w:rFonts w:ascii="Cambria" w:hAnsi="Cambria" w:cs="Times New Roman"/>
          <w:color w:val="4472C4" w:themeColor="accent1"/>
          <w:sz w:val="24"/>
          <w:szCs w:val="24"/>
        </w:rPr>
        <w:t>ç’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rast edhe u p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rjashtua nga ndeshja. 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çerekun e 3-t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, trajneri </w:t>
      </w:r>
      <w:r w:rsidR="007737AD">
        <w:rPr>
          <w:rFonts w:ascii="Cambria" w:hAnsi="Cambria" w:cs="Times New Roman"/>
          <w:color w:val="4472C4" w:themeColor="accent1"/>
          <w:sz w:val="24"/>
          <w:szCs w:val="24"/>
        </w:rPr>
        <w:t>R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am</w:t>
      </w:r>
      <w:r w:rsidR="007737AD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Hadar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, u nd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shkua me GT pasi e 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rhoqi </w:t>
      </w:r>
      <w:r w:rsidR="007737AD">
        <w:rPr>
          <w:rFonts w:ascii="Cambria" w:hAnsi="Cambria" w:cs="Times New Roman"/>
          <w:color w:val="4472C4" w:themeColor="accent1"/>
          <w:sz w:val="24"/>
          <w:szCs w:val="24"/>
        </w:rPr>
        <w:t>ekipin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zhveshtore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, e</w:t>
      </w:r>
      <w:r w:rsidR="007737A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cila u kthye pas 3 min.</w:t>
      </w:r>
    </w:p>
    <w:p w14:paraId="3046B78C" w14:textId="6E8A6C65" w:rsidR="001D6074" w:rsidRDefault="001D6074" w:rsidP="00B96D0A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Gjat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7737AD">
        <w:rPr>
          <w:rFonts w:ascii="Cambria" w:hAnsi="Cambria" w:cs="Times New Roman"/>
          <w:color w:val="4472C4" w:themeColor="accent1"/>
          <w:sz w:val="24"/>
          <w:szCs w:val="24"/>
        </w:rPr>
        <w:t>ndeshjes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iu 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rhoq v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rejtja tifoz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ve vend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s q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mos p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rdorin laser. Gjithashtu gjat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ndeshjes jan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h</w:t>
      </w:r>
      <w:r w:rsidR="007737AD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dhur dy-tri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shkrep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sa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nga tifoz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t vend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s, </w:t>
      </w:r>
      <w:r w:rsidR="007737AD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urse pas p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rfundimit 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ndeshjes 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fush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pati edhe h</w:t>
      </w:r>
      <w:r w:rsidR="007737AD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dhje 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shum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shkrep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save</w:t>
      </w:r>
      <w:proofErr w:type="spellEnd"/>
      <w:r w:rsidR="00B96D0A">
        <w:rPr>
          <w:rFonts w:ascii="Cambria" w:hAnsi="Cambria" w:cs="Times New Roman"/>
          <w:color w:val="4472C4" w:themeColor="accent1"/>
          <w:sz w:val="24"/>
          <w:szCs w:val="24"/>
        </w:rPr>
        <w:t>, flakadanëve dhe mjeteve piroteknike 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drejtim 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fush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s, 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lojtar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ve dhe 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7737AD">
        <w:rPr>
          <w:rFonts w:ascii="Cambria" w:hAnsi="Cambria" w:cs="Times New Roman"/>
          <w:color w:val="4472C4" w:themeColor="accent1"/>
          <w:sz w:val="24"/>
          <w:szCs w:val="24"/>
        </w:rPr>
        <w:t xml:space="preserve">gjyqtarëve 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, gj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e cila pengoi ceremonin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e ndarjes s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medaljeve dhe kup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s. Gjithashtu 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fillim 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ndeshjes 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sht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ndezur nj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 flakadan nga tifoz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>t vend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B96D0A">
        <w:rPr>
          <w:rFonts w:ascii="Cambria" w:hAnsi="Cambria" w:cs="Times New Roman"/>
          <w:color w:val="4472C4" w:themeColor="accent1"/>
          <w:sz w:val="24"/>
          <w:szCs w:val="24"/>
        </w:rPr>
        <w:t xml:space="preserve">s. </w:t>
      </w:r>
    </w:p>
    <w:p w14:paraId="493572ED" w14:textId="2999972F" w:rsidR="00B96D0A" w:rsidRDefault="00B96D0A" w:rsidP="00B96D0A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rejtje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tjera: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Ndeshja filloi me 18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vones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 shkak t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problemeve me semaforin nga njëra an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. Pasi nuk mund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n ta rregullojn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C563D">
        <w:rPr>
          <w:rFonts w:ascii="Cambria" w:hAnsi="Cambria" w:cs="Times New Roman"/>
          <w:color w:val="4472C4" w:themeColor="accent1"/>
          <w:sz w:val="24"/>
          <w:szCs w:val="24"/>
        </w:rPr>
        <w:t>semaforin, ndeshja u zhvillua pa funksionimin e njërit semafor (nga ana e majtë e tavolinës zyrtare).</w:t>
      </w:r>
    </w:p>
    <w:p w14:paraId="18885BF3" w14:textId="77777777" w:rsidR="009C563D" w:rsidRPr="001D6074" w:rsidRDefault="009C563D" w:rsidP="00B96D0A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93AF385" w14:textId="75F8F815" w:rsidR="00B96D0A" w:rsidRDefault="00B96D0A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EC4ECA2" w14:textId="77777777" w:rsidR="007737AD" w:rsidRDefault="007737AD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831F000" w14:textId="77777777" w:rsidR="007737AD" w:rsidRDefault="007737AD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5453B033" w14:textId="77777777" w:rsidR="007737AD" w:rsidRDefault="007737AD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BDFF292" w14:textId="77777777" w:rsidR="007737AD" w:rsidRDefault="007737AD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A87C6FB" w14:textId="299B74E3" w:rsidR="001D6074" w:rsidRDefault="001D6074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1542DF59" w14:textId="0E1F2A90" w:rsidR="001D6074" w:rsidRDefault="009C563D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Drilon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Hajrizi</w:t>
      </w:r>
      <w:proofErr w:type="spellEnd"/>
      <w:r w:rsidR="001D6074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r w:rsidR="00A6007A">
        <w:rPr>
          <w:rFonts w:ascii="Abadi" w:hAnsi="Abadi"/>
          <w:b/>
          <w:bCs/>
          <w:color w:val="4472C4" w:themeColor="accent1"/>
          <w:sz w:val="24"/>
          <w:szCs w:val="24"/>
        </w:rPr>
        <w:t>Trepça</w:t>
      </w:r>
      <w:r w:rsidR="001D6074">
        <w:rPr>
          <w:rFonts w:ascii="Abadi" w:hAnsi="Abadi"/>
          <w:b/>
          <w:bCs/>
          <w:color w:val="4472C4" w:themeColor="accent1"/>
          <w:sz w:val="24"/>
          <w:szCs w:val="24"/>
        </w:rPr>
        <w:t>) d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="001D6074"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>4</w:t>
      </w:r>
      <w:r w:rsidR="001D6074">
        <w:rPr>
          <w:rFonts w:ascii="Abadi" w:hAnsi="Abadi"/>
          <w:b/>
          <w:bCs/>
          <w:color w:val="4472C4" w:themeColor="accent1"/>
          <w:sz w:val="24"/>
          <w:szCs w:val="24"/>
        </w:rPr>
        <w:t xml:space="preserve">00 Euro, </w:t>
      </w:r>
      <w:proofErr w:type="spellStart"/>
      <w:r w:rsidR="001D6074"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 w:rsidR="001D6074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="001D6074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13CF8CCB" w14:textId="2ECD3371" w:rsidR="001D6074" w:rsidRDefault="009C563D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Arti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Hajdari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Peja) dënohet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7153A010" w14:textId="368BFDB1" w:rsidR="009C563D" w:rsidRDefault="009C563D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Jalen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Tate (KB Peja) dënohet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456E9E1E" w14:textId="4275667B" w:rsidR="001D6074" w:rsidRDefault="009C563D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Yoram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Hadar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Peja) dënohet me </w:t>
      </w:r>
      <w:r w:rsidR="00A6007A">
        <w:rPr>
          <w:rFonts w:ascii="Abadi" w:hAnsi="Abadi"/>
          <w:b/>
          <w:bCs/>
          <w:color w:val="4472C4" w:themeColor="accent1"/>
          <w:sz w:val="24"/>
          <w:szCs w:val="24"/>
        </w:rPr>
        <w:t>5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3B32C5B3" w14:textId="7C77927B" w:rsidR="009C563D" w:rsidRDefault="009C563D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r w:rsidR="00A6007A">
        <w:rPr>
          <w:rFonts w:ascii="Abadi" w:hAnsi="Abadi"/>
          <w:b/>
          <w:bCs/>
          <w:color w:val="4472C4" w:themeColor="accent1"/>
          <w:sz w:val="24"/>
          <w:szCs w:val="24"/>
        </w:rPr>
        <w:t>Trepça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400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49.3 të PG</w:t>
      </w:r>
    </w:p>
    <w:p w14:paraId="3AE41238" w14:textId="0ED2EBA1" w:rsidR="009C563D" w:rsidRDefault="009C563D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r w:rsidR="00A6007A">
        <w:rPr>
          <w:rFonts w:ascii="Abadi" w:hAnsi="Abadi"/>
          <w:b/>
          <w:bCs/>
          <w:color w:val="4472C4" w:themeColor="accent1"/>
          <w:sz w:val="24"/>
          <w:szCs w:val="24"/>
        </w:rPr>
        <w:t>Trepça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500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49.13 të PG</w:t>
      </w:r>
    </w:p>
    <w:p w14:paraId="72C84E91" w14:textId="1F1D9DFB" w:rsidR="009C563D" w:rsidRDefault="009C563D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r w:rsidR="00A6007A">
        <w:rPr>
          <w:rFonts w:ascii="Abadi" w:hAnsi="Abadi"/>
          <w:b/>
          <w:bCs/>
          <w:color w:val="4472C4" w:themeColor="accent1"/>
          <w:sz w:val="24"/>
          <w:szCs w:val="24"/>
        </w:rPr>
        <w:t>Trepça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48.16 të PG</w:t>
      </w:r>
    </w:p>
    <w:p w14:paraId="417F1054" w14:textId="77777777" w:rsidR="001D6074" w:rsidRDefault="001D6074" w:rsidP="001D6074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2A24CCB" w14:textId="77777777" w:rsidR="001D6074" w:rsidRDefault="001D6074" w:rsidP="001D6074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6768DF43" w14:textId="77777777" w:rsidR="001D6074" w:rsidRDefault="001D6074" w:rsidP="001D6074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3D49ED2C" w14:textId="77777777" w:rsidR="001D6074" w:rsidRDefault="001D6074" w:rsidP="001D6074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581C9709" w14:textId="77777777" w:rsidR="001D6074" w:rsidRDefault="001D6074" w:rsidP="001D6074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5BDB1D3E" w14:textId="77777777" w:rsidR="001D6074" w:rsidRDefault="001D6074" w:rsidP="001D6074"/>
    <w:p w14:paraId="1036C5C8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31E" w14:textId="77777777" w:rsidR="006E3CD6" w:rsidRDefault="006E3CD6">
      <w:pPr>
        <w:spacing w:after="0" w:line="240" w:lineRule="auto"/>
      </w:pPr>
      <w:r>
        <w:separator/>
      </w:r>
    </w:p>
  </w:endnote>
  <w:endnote w:type="continuationSeparator" w:id="0">
    <w:p w14:paraId="16E9EAFE" w14:textId="77777777" w:rsidR="006E3CD6" w:rsidRDefault="006E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40BD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51819D32" wp14:editId="7478675E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7A37" w14:textId="77777777" w:rsidR="006E3CD6" w:rsidRDefault="006E3CD6">
      <w:pPr>
        <w:spacing w:after="0" w:line="240" w:lineRule="auto"/>
      </w:pPr>
      <w:r>
        <w:separator/>
      </w:r>
    </w:p>
  </w:footnote>
  <w:footnote w:type="continuationSeparator" w:id="0">
    <w:p w14:paraId="3A2413B1" w14:textId="77777777" w:rsidR="006E3CD6" w:rsidRDefault="006E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2369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E0430" wp14:editId="0FD39828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FA1416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4380ED9B" wp14:editId="44281A31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74"/>
    <w:rsid w:val="000E6947"/>
    <w:rsid w:val="001D6074"/>
    <w:rsid w:val="00251AA8"/>
    <w:rsid w:val="005F4647"/>
    <w:rsid w:val="006E3CD6"/>
    <w:rsid w:val="007737AD"/>
    <w:rsid w:val="007E4283"/>
    <w:rsid w:val="009C563D"/>
    <w:rsid w:val="00A6007A"/>
    <w:rsid w:val="00B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D5EC"/>
  <w15:chartTrackingRefBased/>
  <w15:docId w15:val="{612C183F-EE20-468E-A617-CE3A17DD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74"/>
    <w:rPr>
      <w:rFonts w:eastAsia="MS Mincho"/>
      <w:kern w:val="0"/>
      <w:lang w:val="sq-AL"/>
      <w14:ligatures w14:val="none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1D6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1D6074"/>
    <w:rPr>
      <w:rFonts w:eastAsia="MS Mincho"/>
      <w:kern w:val="0"/>
      <w:lang w:val="sq-AL"/>
      <w14:ligatures w14:val="none"/>
    </w:rPr>
  </w:style>
  <w:style w:type="paragraph" w:styleId="Fundiifaqes">
    <w:name w:val="footer"/>
    <w:basedOn w:val="Normal"/>
    <w:link w:val="FundiifaqesKarakter"/>
    <w:uiPriority w:val="99"/>
    <w:unhideWhenUsed/>
    <w:rsid w:val="001D6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1D6074"/>
    <w:rPr>
      <w:rFonts w:eastAsia="MS Mincho"/>
      <w:kern w:val="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2023-05-23T13:40:00Z</cp:lastPrinted>
  <dcterms:created xsi:type="dcterms:W3CDTF">2023-05-23T13:43:00Z</dcterms:created>
  <dcterms:modified xsi:type="dcterms:W3CDTF">2023-05-23T13:43:00Z</dcterms:modified>
</cp:coreProperties>
</file>